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outlineLvl w:val="0"/>
        <w:rPr>
          <w:rFonts w:ascii="方正小标宋简体" w:hAnsi="方正小标宋_GBK" w:eastAsia="方正小标宋简体" w:cs="方正小标宋_GBK"/>
          <w:kern w:val="36"/>
          <w:sz w:val="44"/>
          <w:szCs w:val="44"/>
        </w:rPr>
      </w:pPr>
      <w:bookmarkStart w:id="0" w:name="_GoBack"/>
      <w:r>
        <w:rPr>
          <w:rFonts w:hint="eastAsia" w:ascii="方正小标宋简体" w:hAnsi="方正小标宋_GBK" w:eastAsia="方正小标宋简体" w:cs="方正小标宋_GBK"/>
          <w:kern w:val="36"/>
          <w:sz w:val="44"/>
          <w:szCs w:val="44"/>
        </w:rPr>
        <w:t>关于第四届阜宁创新创业大赛</w:t>
      </w:r>
    </w:p>
    <w:p>
      <w:pPr>
        <w:widowControl/>
        <w:spacing w:line="480" w:lineRule="exact"/>
        <w:jc w:val="center"/>
        <w:outlineLvl w:val="0"/>
        <w:rPr>
          <w:rFonts w:ascii="方正小标宋简体" w:hAnsi="方正小标宋_GBK" w:eastAsia="方正小标宋简体" w:cs="方正小标宋_GBK"/>
          <w:kern w:val="36"/>
          <w:sz w:val="44"/>
          <w:szCs w:val="44"/>
        </w:rPr>
      </w:pPr>
      <w:r>
        <w:rPr>
          <w:rFonts w:hint="eastAsia" w:ascii="方正小标宋简体" w:hAnsi="方正小标宋_GBK" w:eastAsia="方正小标宋简体" w:cs="方正小标宋_GBK"/>
          <w:kern w:val="36"/>
          <w:sz w:val="44"/>
          <w:szCs w:val="44"/>
        </w:rPr>
        <w:t>拟获奖项目的公示</w:t>
      </w:r>
    </w:p>
    <w:bookmarkEnd w:id="0"/>
    <w:p>
      <w:pPr>
        <w:adjustRightInd w:val="0"/>
        <w:snapToGrid w:val="0"/>
        <w:spacing w:line="480" w:lineRule="exact"/>
        <w:ind w:firstLine="640" w:firstLineChars="200"/>
        <w:rPr>
          <w:rFonts w:ascii="仿宋" w:hAnsi="仿宋" w:eastAsia="仿宋" w:cs="宋体"/>
          <w:kern w:val="0"/>
          <w:sz w:val="32"/>
          <w:szCs w:val="32"/>
        </w:rPr>
      </w:pPr>
    </w:p>
    <w:p>
      <w:pPr>
        <w:adjustRightInd w:val="0"/>
        <w:snapToGrid w:val="0"/>
        <w:spacing w:line="480" w:lineRule="exact"/>
        <w:ind w:firstLine="640" w:firstLineChars="200"/>
        <w:rPr>
          <w:rFonts w:hint="eastAsia" w:ascii="Times New Roman" w:hAnsi="仿宋" w:eastAsia="仿宋" w:cs="Times New Roman"/>
          <w:kern w:val="0"/>
          <w:sz w:val="32"/>
          <w:szCs w:val="32"/>
        </w:rPr>
      </w:pPr>
      <w:r>
        <w:rPr>
          <w:rFonts w:ascii="Times New Roman" w:hAnsi="仿宋" w:eastAsia="仿宋" w:cs="Times New Roman"/>
          <w:sz w:val="32"/>
          <w:szCs w:val="32"/>
        </w:rPr>
        <w:t>第四届阜宁创新创业大赛于</w:t>
      </w:r>
      <w:r>
        <w:rPr>
          <w:rFonts w:ascii="Times New Roman" w:hAnsi="Times New Roman" w:eastAsia="仿宋" w:cs="Times New Roman"/>
          <w:sz w:val="32"/>
          <w:szCs w:val="32"/>
        </w:rPr>
        <w:t>2020</w:t>
      </w:r>
      <w:r>
        <w:rPr>
          <w:rFonts w:ascii="Times New Roman" w:hAnsi="仿宋" w:eastAsia="仿宋" w:cs="Times New Roman"/>
          <w:sz w:val="32"/>
          <w:szCs w:val="32"/>
        </w:rPr>
        <w:t>年</w:t>
      </w:r>
      <w:r>
        <w:rPr>
          <w:rFonts w:ascii="Times New Roman" w:hAnsi="Times New Roman" w:eastAsia="仿宋" w:cs="Times New Roman"/>
          <w:sz w:val="32"/>
          <w:szCs w:val="32"/>
        </w:rPr>
        <w:t>6</w:t>
      </w:r>
      <w:r>
        <w:rPr>
          <w:rFonts w:ascii="Times New Roman" w:hAnsi="仿宋" w:eastAsia="仿宋" w:cs="Times New Roman"/>
          <w:sz w:val="32"/>
          <w:szCs w:val="32"/>
        </w:rPr>
        <w:t>月</w:t>
      </w:r>
      <w:r>
        <w:rPr>
          <w:rFonts w:ascii="Times New Roman" w:hAnsi="Times New Roman" w:eastAsia="仿宋" w:cs="Times New Roman"/>
          <w:sz w:val="32"/>
          <w:szCs w:val="32"/>
        </w:rPr>
        <w:t>28</w:t>
      </w:r>
      <w:r>
        <w:rPr>
          <w:rFonts w:ascii="Times New Roman" w:hAnsi="仿宋" w:eastAsia="仿宋" w:cs="Times New Roman"/>
          <w:sz w:val="32"/>
          <w:szCs w:val="32"/>
        </w:rPr>
        <w:t>日至</w:t>
      </w:r>
      <w:r>
        <w:rPr>
          <w:rFonts w:ascii="Times New Roman" w:hAnsi="Times New Roman" w:eastAsia="仿宋" w:cs="Times New Roman"/>
          <w:sz w:val="32"/>
          <w:szCs w:val="32"/>
        </w:rPr>
        <w:t>29</w:t>
      </w:r>
      <w:r>
        <w:rPr>
          <w:rFonts w:ascii="Times New Roman" w:hAnsi="仿宋" w:eastAsia="仿宋" w:cs="Times New Roman"/>
          <w:sz w:val="32"/>
          <w:szCs w:val="32"/>
        </w:rPr>
        <w:t>日举行，经报名审核、项目展示、现场答辩、专家评审等环节，从</w:t>
      </w:r>
      <w:r>
        <w:rPr>
          <w:rFonts w:ascii="Times New Roman" w:hAnsi="Times New Roman" w:eastAsia="仿宋" w:cs="Times New Roman"/>
          <w:sz w:val="32"/>
          <w:szCs w:val="32"/>
        </w:rPr>
        <w:t>94</w:t>
      </w:r>
      <w:r>
        <w:rPr>
          <w:rFonts w:ascii="Times New Roman" w:hAnsi="仿宋" w:eastAsia="仿宋" w:cs="Times New Roman"/>
          <w:sz w:val="32"/>
          <w:szCs w:val="32"/>
        </w:rPr>
        <w:t>个参赛项目中评选出</w:t>
      </w:r>
      <w:r>
        <w:rPr>
          <w:rFonts w:ascii="Times New Roman" w:hAnsi="Times New Roman" w:eastAsia="仿宋" w:cs="Times New Roman"/>
          <w:sz w:val="32"/>
          <w:szCs w:val="32"/>
        </w:rPr>
        <w:t>16</w:t>
      </w:r>
      <w:r>
        <w:rPr>
          <w:rFonts w:ascii="Times New Roman" w:hAnsi="仿宋" w:eastAsia="仿宋" w:cs="Times New Roman"/>
          <w:sz w:val="32"/>
          <w:szCs w:val="32"/>
        </w:rPr>
        <w:t>个拟获奖项目</w:t>
      </w:r>
      <w:r>
        <w:rPr>
          <w:rFonts w:hint="eastAsia" w:ascii="Times New Roman" w:hAnsi="仿宋" w:eastAsia="仿宋" w:cs="Times New Roman"/>
          <w:sz w:val="32"/>
          <w:szCs w:val="32"/>
        </w:rPr>
        <w:t>。</w:t>
      </w:r>
      <w:r>
        <w:rPr>
          <w:rFonts w:ascii="Times New Roman" w:hAnsi="仿宋" w:eastAsia="仿宋" w:cs="Times New Roman"/>
          <w:sz w:val="32"/>
          <w:szCs w:val="32"/>
        </w:rPr>
        <w:t>其中，团队组一等奖</w:t>
      </w:r>
      <w:r>
        <w:rPr>
          <w:rFonts w:ascii="Times New Roman" w:hAnsi="Times New Roman" w:eastAsia="仿宋" w:cs="Times New Roman"/>
          <w:sz w:val="32"/>
          <w:szCs w:val="32"/>
        </w:rPr>
        <w:t>1</w:t>
      </w:r>
      <w:r>
        <w:rPr>
          <w:rFonts w:ascii="Times New Roman" w:hAnsi="仿宋" w:eastAsia="仿宋" w:cs="Times New Roman"/>
          <w:sz w:val="32"/>
          <w:szCs w:val="32"/>
        </w:rPr>
        <w:t>名、二等奖</w:t>
      </w:r>
      <w:r>
        <w:rPr>
          <w:rFonts w:ascii="Times New Roman" w:hAnsi="Times New Roman" w:eastAsia="仿宋" w:cs="Times New Roman"/>
          <w:sz w:val="32"/>
          <w:szCs w:val="32"/>
        </w:rPr>
        <w:t>2</w:t>
      </w:r>
      <w:r>
        <w:rPr>
          <w:rFonts w:ascii="Times New Roman" w:hAnsi="仿宋" w:eastAsia="仿宋" w:cs="Times New Roman"/>
          <w:sz w:val="32"/>
          <w:szCs w:val="32"/>
        </w:rPr>
        <w:t>名、三等奖</w:t>
      </w:r>
      <w:r>
        <w:rPr>
          <w:rFonts w:ascii="Times New Roman" w:hAnsi="Times New Roman" w:eastAsia="仿宋" w:cs="Times New Roman"/>
          <w:sz w:val="32"/>
          <w:szCs w:val="32"/>
        </w:rPr>
        <w:t>3</w:t>
      </w:r>
      <w:r>
        <w:rPr>
          <w:rFonts w:ascii="Times New Roman" w:hAnsi="仿宋" w:eastAsia="仿宋" w:cs="Times New Roman"/>
          <w:sz w:val="32"/>
          <w:szCs w:val="32"/>
        </w:rPr>
        <w:t>名，初创企业组一等奖</w:t>
      </w:r>
      <w:r>
        <w:rPr>
          <w:rFonts w:ascii="Times New Roman" w:hAnsi="Times New Roman" w:eastAsia="仿宋" w:cs="Times New Roman"/>
          <w:sz w:val="32"/>
          <w:szCs w:val="32"/>
        </w:rPr>
        <w:t>1</w:t>
      </w:r>
      <w:r>
        <w:rPr>
          <w:rFonts w:ascii="Times New Roman" w:hAnsi="仿宋" w:eastAsia="仿宋" w:cs="Times New Roman"/>
          <w:sz w:val="32"/>
          <w:szCs w:val="32"/>
        </w:rPr>
        <w:t>名、二等奖</w:t>
      </w:r>
      <w:r>
        <w:rPr>
          <w:rFonts w:ascii="Times New Roman" w:hAnsi="Times New Roman" w:eastAsia="仿宋" w:cs="Times New Roman"/>
          <w:sz w:val="32"/>
          <w:szCs w:val="32"/>
        </w:rPr>
        <w:t>1</w:t>
      </w:r>
      <w:r>
        <w:rPr>
          <w:rFonts w:ascii="Times New Roman" w:hAnsi="仿宋" w:eastAsia="仿宋" w:cs="Times New Roman"/>
          <w:sz w:val="32"/>
          <w:szCs w:val="32"/>
        </w:rPr>
        <w:t>名、三等奖</w:t>
      </w:r>
      <w:r>
        <w:rPr>
          <w:rFonts w:ascii="Times New Roman" w:hAnsi="Times New Roman" w:eastAsia="仿宋" w:cs="Times New Roman"/>
          <w:sz w:val="32"/>
          <w:szCs w:val="32"/>
        </w:rPr>
        <w:t>3</w:t>
      </w:r>
      <w:r>
        <w:rPr>
          <w:rFonts w:ascii="Times New Roman" w:hAnsi="仿宋" w:eastAsia="仿宋" w:cs="Times New Roman"/>
          <w:sz w:val="32"/>
          <w:szCs w:val="32"/>
        </w:rPr>
        <w:t>名，成长企业组一等奖</w:t>
      </w:r>
      <w:r>
        <w:rPr>
          <w:rFonts w:ascii="Times New Roman" w:hAnsi="Times New Roman" w:eastAsia="仿宋" w:cs="Times New Roman"/>
          <w:sz w:val="32"/>
          <w:szCs w:val="32"/>
        </w:rPr>
        <w:t>1</w:t>
      </w:r>
      <w:r>
        <w:rPr>
          <w:rFonts w:ascii="Times New Roman" w:hAnsi="仿宋" w:eastAsia="仿宋" w:cs="Times New Roman"/>
          <w:sz w:val="32"/>
          <w:szCs w:val="32"/>
        </w:rPr>
        <w:t>名、二等奖</w:t>
      </w:r>
      <w:r>
        <w:rPr>
          <w:rFonts w:ascii="Times New Roman" w:hAnsi="Times New Roman" w:eastAsia="仿宋" w:cs="Times New Roman"/>
          <w:sz w:val="32"/>
          <w:szCs w:val="32"/>
        </w:rPr>
        <w:t>1</w:t>
      </w:r>
      <w:r>
        <w:rPr>
          <w:rFonts w:ascii="Times New Roman" w:hAnsi="仿宋" w:eastAsia="仿宋" w:cs="Times New Roman"/>
          <w:sz w:val="32"/>
          <w:szCs w:val="32"/>
        </w:rPr>
        <w:t>名、三等奖</w:t>
      </w:r>
      <w:r>
        <w:rPr>
          <w:rFonts w:ascii="Times New Roman" w:hAnsi="Times New Roman" w:eastAsia="仿宋" w:cs="Times New Roman"/>
          <w:sz w:val="32"/>
          <w:szCs w:val="32"/>
        </w:rPr>
        <w:t>3</w:t>
      </w:r>
      <w:r>
        <w:rPr>
          <w:rFonts w:ascii="Times New Roman" w:hAnsi="仿宋" w:eastAsia="仿宋" w:cs="Times New Roman"/>
          <w:sz w:val="32"/>
          <w:szCs w:val="32"/>
        </w:rPr>
        <w:t>名。</w:t>
      </w:r>
      <w:r>
        <w:rPr>
          <w:rFonts w:ascii="Times New Roman" w:hAnsi="仿宋" w:eastAsia="仿宋" w:cs="Times New Roman"/>
          <w:kern w:val="0"/>
          <w:sz w:val="32"/>
          <w:szCs w:val="32"/>
        </w:rPr>
        <w:t>现将拟获奖项目</w:t>
      </w:r>
      <w:r>
        <w:rPr>
          <w:rFonts w:hint="eastAsia" w:ascii="Times New Roman" w:hAnsi="仿宋" w:eastAsia="仿宋" w:cs="Times New Roman"/>
          <w:kern w:val="0"/>
          <w:sz w:val="32"/>
          <w:szCs w:val="32"/>
        </w:rPr>
        <w:t>进行</w:t>
      </w:r>
      <w:r>
        <w:rPr>
          <w:rFonts w:ascii="Times New Roman" w:hAnsi="仿宋" w:eastAsia="仿宋" w:cs="Times New Roman"/>
          <w:kern w:val="0"/>
          <w:sz w:val="32"/>
          <w:szCs w:val="32"/>
        </w:rPr>
        <w:t>公示</w:t>
      </w:r>
      <w:r>
        <w:rPr>
          <w:rFonts w:hint="eastAsia" w:ascii="Times New Roman" w:hAnsi="仿宋" w:eastAsia="仿宋" w:cs="Times New Roman"/>
          <w:kern w:val="0"/>
          <w:sz w:val="32"/>
          <w:szCs w:val="32"/>
        </w:rPr>
        <w:t>，</w:t>
      </w:r>
      <w:r>
        <w:rPr>
          <w:rFonts w:ascii="Times New Roman" w:hAnsi="仿宋" w:eastAsia="仿宋" w:cs="Times New Roman"/>
          <w:kern w:val="0"/>
          <w:sz w:val="32"/>
          <w:szCs w:val="32"/>
        </w:rPr>
        <w:t>公示期</w:t>
      </w:r>
      <w:r>
        <w:rPr>
          <w:rFonts w:hint="eastAsia" w:ascii="Times New Roman" w:hAnsi="仿宋" w:eastAsia="仿宋" w:cs="Times New Roman"/>
          <w:kern w:val="0"/>
          <w:sz w:val="32"/>
          <w:szCs w:val="32"/>
        </w:rPr>
        <w:t>时间自</w:t>
      </w:r>
      <w:r>
        <w:rPr>
          <w:rFonts w:ascii="Times New Roman" w:hAnsi="Times New Roman" w:eastAsia="仿宋" w:cs="Times New Roman"/>
          <w:kern w:val="0"/>
          <w:sz w:val="32"/>
          <w:szCs w:val="32"/>
        </w:rPr>
        <w:t>7</w:t>
      </w:r>
      <w:r>
        <w:rPr>
          <w:rFonts w:ascii="Times New Roman" w:hAnsi="仿宋" w:eastAsia="仿宋" w:cs="Times New Roman"/>
          <w:kern w:val="0"/>
          <w:sz w:val="32"/>
          <w:szCs w:val="32"/>
        </w:rPr>
        <w:t>月</w:t>
      </w:r>
      <w:r>
        <w:rPr>
          <w:rFonts w:ascii="Times New Roman" w:hAnsi="Times New Roman" w:eastAsia="仿宋" w:cs="Times New Roman"/>
          <w:kern w:val="0"/>
          <w:sz w:val="32"/>
          <w:szCs w:val="32"/>
        </w:rPr>
        <w:t>6</w:t>
      </w:r>
      <w:r>
        <w:rPr>
          <w:rFonts w:ascii="Times New Roman" w:hAnsi="仿宋" w:eastAsia="仿宋" w:cs="Times New Roman"/>
          <w:kern w:val="0"/>
          <w:sz w:val="32"/>
          <w:szCs w:val="32"/>
        </w:rPr>
        <w:t>日</w:t>
      </w:r>
      <w:r>
        <w:rPr>
          <w:rFonts w:hint="eastAsia" w:ascii="Times New Roman" w:hAnsi="仿宋" w:eastAsia="仿宋" w:cs="Times New Roman"/>
          <w:kern w:val="0"/>
          <w:sz w:val="32"/>
          <w:szCs w:val="32"/>
        </w:rPr>
        <w:t>起</w:t>
      </w:r>
      <w:r>
        <w:rPr>
          <w:rFonts w:ascii="Times New Roman" w:hAnsi="仿宋" w:eastAsia="仿宋" w:cs="Times New Roman"/>
          <w:kern w:val="0"/>
          <w:sz w:val="32"/>
          <w:szCs w:val="32"/>
        </w:rPr>
        <w:t>至</w:t>
      </w:r>
      <w:r>
        <w:rPr>
          <w:rFonts w:ascii="Times New Roman" w:hAnsi="Times New Roman" w:eastAsia="仿宋" w:cs="Times New Roman"/>
          <w:kern w:val="0"/>
          <w:sz w:val="32"/>
          <w:szCs w:val="32"/>
        </w:rPr>
        <w:t>7</w:t>
      </w:r>
      <w:r>
        <w:rPr>
          <w:rFonts w:ascii="Times New Roman" w:hAnsi="仿宋" w:eastAsia="仿宋" w:cs="Times New Roman"/>
          <w:kern w:val="0"/>
          <w:sz w:val="32"/>
          <w:szCs w:val="32"/>
        </w:rPr>
        <w:t>月</w:t>
      </w:r>
      <w:r>
        <w:rPr>
          <w:rFonts w:ascii="Times New Roman" w:hAnsi="Times New Roman" w:eastAsia="仿宋" w:cs="Times New Roman"/>
          <w:kern w:val="0"/>
          <w:sz w:val="32"/>
          <w:szCs w:val="32"/>
        </w:rPr>
        <w:t>10</w:t>
      </w:r>
      <w:r>
        <w:rPr>
          <w:rFonts w:ascii="Times New Roman" w:hAnsi="仿宋" w:eastAsia="仿宋" w:cs="Times New Roman"/>
          <w:kern w:val="0"/>
          <w:sz w:val="32"/>
          <w:szCs w:val="32"/>
        </w:rPr>
        <w:t>日。</w:t>
      </w:r>
    </w:p>
    <w:p>
      <w:pPr>
        <w:widowControl/>
        <w:spacing w:line="480" w:lineRule="exact"/>
        <w:ind w:firstLine="640" w:firstLineChars="200"/>
        <w:jc w:val="left"/>
        <w:rPr>
          <w:rFonts w:ascii="Times New Roman" w:hAnsi="Times New Roman" w:eastAsia="仿宋" w:cs="Times New Roman"/>
          <w:kern w:val="0"/>
          <w:sz w:val="32"/>
          <w:szCs w:val="32"/>
        </w:rPr>
      </w:pPr>
      <w:r>
        <w:rPr>
          <w:rFonts w:ascii="Times New Roman" w:hAnsi="仿宋" w:eastAsia="仿宋" w:cs="Times New Roman"/>
          <w:kern w:val="0"/>
          <w:sz w:val="32"/>
          <w:szCs w:val="32"/>
        </w:rPr>
        <w:t>公示期</w:t>
      </w:r>
      <w:r>
        <w:rPr>
          <w:rFonts w:hint="eastAsia" w:ascii="Times New Roman" w:hAnsi="仿宋" w:eastAsia="仿宋" w:cs="Times New Roman"/>
          <w:kern w:val="0"/>
          <w:sz w:val="32"/>
          <w:szCs w:val="32"/>
        </w:rPr>
        <w:t>间</w:t>
      </w:r>
      <w:r>
        <w:rPr>
          <w:rFonts w:ascii="Times New Roman" w:hAnsi="仿宋" w:eastAsia="仿宋" w:cs="Times New Roman"/>
          <w:kern w:val="0"/>
          <w:sz w:val="32"/>
          <w:szCs w:val="32"/>
        </w:rPr>
        <w:t>，如有异议，请</w:t>
      </w:r>
      <w:r>
        <w:rPr>
          <w:rFonts w:hint="eastAsia" w:ascii="Times New Roman" w:hAnsi="仿宋" w:eastAsia="仿宋" w:cs="Times New Roman"/>
          <w:kern w:val="0"/>
          <w:sz w:val="32"/>
          <w:szCs w:val="32"/>
        </w:rPr>
        <w:t>向</w:t>
      </w:r>
      <w:r>
        <w:rPr>
          <w:rFonts w:ascii="Times New Roman" w:hAnsi="仿宋" w:eastAsia="仿宋" w:cs="Times New Roman"/>
          <w:kern w:val="0"/>
          <w:sz w:val="32"/>
          <w:szCs w:val="32"/>
        </w:rPr>
        <w:t>县科技局科技管理科</w:t>
      </w:r>
      <w:r>
        <w:rPr>
          <w:rFonts w:hint="eastAsia" w:ascii="Times New Roman" w:hAnsi="仿宋" w:eastAsia="仿宋" w:cs="Times New Roman"/>
          <w:kern w:val="0"/>
          <w:sz w:val="32"/>
          <w:szCs w:val="32"/>
        </w:rPr>
        <w:t>反映，联系</w:t>
      </w:r>
      <w:r>
        <w:rPr>
          <w:rFonts w:ascii="Times New Roman" w:hAnsi="仿宋" w:eastAsia="仿宋" w:cs="Times New Roman"/>
          <w:kern w:val="0"/>
          <w:sz w:val="32"/>
          <w:szCs w:val="32"/>
        </w:rPr>
        <w:t>电话</w:t>
      </w:r>
      <w:r>
        <w:rPr>
          <w:rFonts w:ascii="Times New Roman" w:hAnsi="Times New Roman" w:eastAsia="仿宋" w:cs="Times New Roman"/>
          <w:kern w:val="0"/>
          <w:sz w:val="32"/>
          <w:szCs w:val="32"/>
        </w:rPr>
        <w:t>:0515-87383039</w:t>
      </w:r>
      <w:r>
        <w:rPr>
          <w:rFonts w:hint="eastAsia" w:ascii="Times New Roman" w:hAnsi="仿宋" w:eastAsia="仿宋" w:cs="Times New Roman"/>
          <w:kern w:val="0"/>
          <w:sz w:val="32"/>
          <w:szCs w:val="32"/>
        </w:rPr>
        <w:t>，</w:t>
      </w:r>
      <w:r>
        <w:rPr>
          <w:rFonts w:ascii="Times New Roman" w:hAnsi="仿宋" w:eastAsia="仿宋" w:cs="Times New Roman"/>
          <w:kern w:val="0"/>
          <w:sz w:val="32"/>
          <w:szCs w:val="32"/>
        </w:rPr>
        <w:t>邮箱</w:t>
      </w:r>
      <w:r>
        <w:rPr>
          <w:rFonts w:ascii="Times New Roman" w:hAnsi="Times New Roman" w:eastAsia="仿宋" w:cs="Times New Roman"/>
          <w:kern w:val="0"/>
          <w:sz w:val="32"/>
          <w:szCs w:val="32"/>
        </w:rPr>
        <w:t>:fnkcds@163.com</w:t>
      </w:r>
      <w:r>
        <w:rPr>
          <w:rFonts w:hint="eastAsia" w:ascii="Times New Roman" w:hAnsi="Times New Roman" w:eastAsia="仿宋" w:cs="Times New Roman"/>
          <w:kern w:val="0"/>
          <w:sz w:val="32"/>
          <w:szCs w:val="32"/>
        </w:rPr>
        <w:t>，</w:t>
      </w:r>
      <w:r>
        <w:rPr>
          <w:rFonts w:ascii="Times New Roman" w:hAnsi="仿宋" w:eastAsia="仿宋" w:cs="Times New Roman"/>
          <w:kern w:val="0"/>
          <w:sz w:val="32"/>
          <w:szCs w:val="32"/>
        </w:rPr>
        <w:t>地址</w:t>
      </w:r>
      <w:r>
        <w:rPr>
          <w:rFonts w:ascii="Times New Roman" w:hAnsi="Times New Roman" w:eastAsia="仿宋" w:cs="Times New Roman"/>
          <w:kern w:val="0"/>
          <w:sz w:val="32"/>
          <w:szCs w:val="32"/>
        </w:rPr>
        <w:t>:</w:t>
      </w:r>
      <w:r>
        <w:rPr>
          <w:rFonts w:ascii="Times New Roman" w:hAnsi="仿宋" w:eastAsia="仿宋" w:cs="Times New Roman"/>
          <w:kern w:val="0"/>
          <w:sz w:val="32"/>
          <w:szCs w:val="32"/>
        </w:rPr>
        <w:t>县城南大厦</w:t>
      </w:r>
      <w:r>
        <w:rPr>
          <w:rFonts w:ascii="Times New Roman" w:hAnsi="Times New Roman" w:eastAsia="仿宋" w:cs="Times New Roman"/>
          <w:kern w:val="0"/>
          <w:sz w:val="32"/>
          <w:szCs w:val="32"/>
        </w:rPr>
        <w:t>A</w:t>
      </w:r>
      <w:r>
        <w:rPr>
          <w:rFonts w:ascii="Times New Roman" w:hAnsi="仿宋" w:eastAsia="仿宋" w:cs="Times New Roman"/>
          <w:kern w:val="0"/>
          <w:sz w:val="32"/>
          <w:szCs w:val="32"/>
        </w:rPr>
        <w:t>座</w:t>
      </w:r>
      <w:r>
        <w:rPr>
          <w:rFonts w:ascii="Times New Roman" w:hAnsi="Times New Roman" w:eastAsia="仿宋" w:cs="Times New Roman"/>
          <w:kern w:val="0"/>
          <w:sz w:val="32"/>
          <w:szCs w:val="32"/>
        </w:rPr>
        <w:t>3008</w:t>
      </w:r>
      <w:r>
        <w:rPr>
          <w:rFonts w:ascii="Times New Roman" w:hAnsi="仿宋" w:eastAsia="仿宋" w:cs="Times New Roman"/>
          <w:kern w:val="0"/>
          <w:sz w:val="32"/>
          <w:szCs w:val="32"/>
        </w:rPr>
        <w:t>室，邮政编码</w:t>
      </w:r>
      <w:r>
        <w:rPr>
          <w:rFonts w:ascii="Times New Roman" w:hAnsi="Times New Roman" w:eastAsia="仿宋" w:cs="Times New Roman"/>
          <w:kern w:val="0"/>
          <w:sz w:val="32"/>
          <w:szCs w:val="32"/>
        </w:rPr>
        <w:t>:224400</w:t>
      </w:r>
      <w:r>
        <w:rPr>
          <w:rFonts w:ascii="Times New Roman" w:hAnsi="仿宋" w:eastAsia="仿宋" w:cs="Times New Roman"/>
          <w:kern w:val="0"/>
          <w:sz w:val="32"/>
          <w:szCs w:val="32"/>
        </w:rPr>
        <w:t>。</w:t>
      </w:r>
    </w:p>
    <w:p>
      <w:pPr>
        <w:spacing w:line="480" w:lineRule="exact"/>
        <w:rPr>
          <w:rFonts w:ascii="Times New Roman" w:hAnsi="Times New Roman" w:eastAsia="仿宋" w:cs="Times New Roman"/>
          <w:sz w:val="32"/>
          <w:szCs w:val="32"/>
        </w:rPr>
      </w:pPr>
    </w:p>
    <w:p>
      <w:pPr>
        <w:spacing w:line="480" w:lineRule="exact"/>
        <w:rPr>
          <w:rFonts w:ascii="Times New Roman" w:hAnsi="Times New Roman" w:eastAsia="仿宋" w:cs="Times New Roman"/>
          <w:sz w:val="32"/>
          <w:szCs w:val="32"/>
        </w:rPr>
      </w:pPr>
    </w:p>
    <w:p>
      <w:pPr>
        <w:spacing w:line="480" w:lineRule="exact"/>
        <w:ind w:right="320"/>
        <w:jc w:val="left"/>
        <w:rPr>
          <w:rFonts w:ascii="Times New Roman" w:hAnsi="Times New Roman" w:eastAsia="仿宋" w:cs="Times New Roman"/>
          <w:sz w:val="32"/>
          <w:szCs w:val="32"/>
        </w:rPr>
      </w:pPr>
      <w:r>
        <w:rPr>
          <w:rFonts w:ascii="Times New Roman" w:hAnsi="仿宋" w:eastAsia="仿宋" w:cs="Times New Roman"/>
          <w:sz w:val="32"/>
          <w:szCs w:val="32"/>
        </w:rPr>
        <w:t>中共阜宁县委组织部</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ascii="Times New Roman" w:hAnsi="仿宋" w:eastAsia="仿宋" w:cs="Times New Roman"/>
          <w:sz w:val="32"/>
          <w:szCs w:val="32"/>
        </w:rPr>
        <w:t>阜宁县科学技术局</w:t>
      </w:r>
    </w:p>
    <w:p>
      <w:pPr>
        <w:spacing w:line="480" w:lineRule="exact"/>
        <w:ind w:right="320"/>
        <w:jc w:val="right"/>
        <w:rPr>
          <w:rFonts w:ascii="Times New Roman" w:hAnsi="Times New Roman" w:eastAsia="仿宋" w:cs="Times New Roman"/>
          <w:sz w:val="32"/>
          <w:szCs w:val="32"/>
        </w:rPr>
      </w:pPr>
      <w:r>
        <w:rPr>
          <w:rFonts w:ascii="Times New Roman" w:hAnsi="Times New Roman" w:eastAsia="仿宋" w:cs="Times New Roman"/>
          <w:sz w:val="32"/>
          <w:szCs w:val="32"/>
        </w:rPr>
        <w:t>2020</w:t>
      </w:r>
      <w:r>
        <w:rPr>
          <w:rFonts w:ascii="Times New Roman" w:hAnsi="仿宋" w:eastAsia="仿宋" w:cs="Times New Roman"/>
          <w:sz w:val="32"/>
          <w:szCs w:val="32"/>
        </w:rPr>
        <w:t>年</w:t>
      </w:r>
      <w:r>
        <w:rPr>
          <w:rFonts w:ascii="Times New Roman" w:hAnsi="Times New Roman" w:eastAsia="仿宋" w:cs="Times New Roman"/>
          <w:sz w:val="32"/>
          <w:szCs w:val="32"/>
        </w:rPr>
        <w:t>7</w:t>
      </w:r>
      <w:r>
        <w:rPr>
          <w:rFonts w:ascii="Times New Roman" w:hAnsi="仿宋" w:eastAsia="仿宋" w:cs="Times New Roman"/>
          <w:sz w:val="32"/>
          <w:szCs w:val="32"/>
        </w:rPr>
        <w:t>月</w:t>
      </w:r>
      <w:r>
        <w:rPr>
          <w:rFonts w:hint="eastAsia" w:ascii="Times New Roman" w:hAnsi="Times New Roman" w:eastAsia="仿宋" w:cs="Times New Roman"/>
          <w:sz w:val="32"/>
          <w:szCs w:val="32"/>
        </w:rPr>
        <w:t>6</w:t>
      </w:r>
      <w:r>
        <w:rPr>
          <w:rFonts w:ascii="Times New Roman" w:hAnsi="仿宋" w:eastAsia="仿宋" w:cs="Times New Roman"/>
          <w:sz w:val="32"/>
          <w:szCs w:val="32"/>
        </w:rPr>
        <w:t>日</w:t>
      </w:r>
    </w:p>
    <w:p>
      <w:pPr>
        <w:adjustRightInd w:val="0"/>
        <w:snapToGrid w:val="0"/>
        <w:spacing w:line="480" w:lineRule="exact"/>
        <w:ind w:firstLine="640" w:firstLineChars="200"/>
        <w:rPr>
          <w:rFonts w:hint="eastAsia" w:ascii="Times New Roman" w:hAnsi="仿宋" w:eastAsia="仿宋" w:cs="Times New Roman"/>
          <w:kern w:val="0"/>
          <w:sz w:val="32"/>
          <w:szCs w:val="32"/>
        </w:rPr>
      </w:pPr>
    </w:p>
    <w:p>
      <w:pPr>
        <w:adjustRightInd w:val="0"/>
        <w:snapToGrid w:val="0"/>
        <w:spacing w:line="480" w:lineRule="exact"/>
        <w:ind w:firstLine="640" w:firstLineChars="200"/>
        <w:rPr>
          <w:rFonts w:hint="eastAsia" w:ascii="Times New Roman" w:hAnsi="仿宋" w:eastAsia="仿宋" w:cs="Times New Roman"/>
          <w:kern w:val="0"/>
          <w:sz w:val="32"/>
          <w:szCs w:val="32"/>
        </w:rPr>
      </w:pPr>
    </w:p>
    <w:p>
      <w:pPr>
        <w:adjustRightInd w:val="0"/>
        <w:snapToGrid w:val="0"/>
        <w:spacing w:line="480" w:lineRule="exact"/>
        <w:ind w:firstLine="640" w:firstLineChars="200"/>
        <w:rPr>
          <w:rFonts w:hint="eastAsia" w:ascii="Times New Roman" w:hAnsi="仿宋" w:eastAsia="仿宋" w:cs="Times New Roman"/>
          <w:kern w:val="0"/>
          <w:sz w:val="32"/>
          <w:szCs w:val="32"/>
        </w:rPr>
      </w:pPr>
    </w:p>
    <w:p>
      <w:pPr>
        <w:adjustRightInd w:val="0"/>
        <w:snapToGrid w:val="0"/>
        <w:spacing w:line="480" w:lineRule="exact"/>
        <w:ind w:firstLine="640" w:firstLineChars="200"/>
        <w:rPr>
          <w:rFonts w:hint="eastAsia" w:ascii="Times New Roman" w:hAnsi="仿宋" w:eastAsia="仿宋" w:cs="Times New Roman"/>
          <w:kern w:val="0"/>
          <w:sz w:val="32"/>
          <w:szCs w:val="32"/>
        </w:rPr>
      </w:pPr>
    </w:p>
    <w:p>
      <w:pPr>
        <w:adjustRightInd w:val="0"/>
        <w:snapToGrid w:val="0"/>
        <w:spacing w:line="480" w:lineRule="exact"/>
        <w:ind w:firstLine="640" w:firstLineChars="200"/>
        <w:rPr>
          <w:rFonts w:hint="eastAsia" w:ascii="Times New Roman" w:hAnsi="仿宋" w:eastAsia="仿宋" w:cs="Times New Roman"/>
          <w:kern w:val="0"/>
          <w:sz w:val="32"/>
          <w:szCs w:val="32"/>
        </w:rPr>
      </w:pPr>
    </w:p>
    <w:p>
      <w:pPr>
        <w:adjustRightInd w:val="0"/>
        <w:snapToGrid w:val="0"/>
        <w:spacing w:line="480" w:lineRule="exact"/>
        <w:ind w:firstLine="640" w:firstLineChars="200"/>
        <w:rPr>
          <w:rFonts w:hint="eastAsia" w:ascii="Times New Roman" w:hAnsi="仿宋" w:eastAsia="仿宋" w:cs="Times New Roman"/>
          <w:kern w:val="0"/>
          <w:sz w:val="32"/>
          <w:szCs w:val="32"/>
        </w:rPr>
      </w:pPr>
    </w:p>
    <w:p>
      <w:pPr>
        <w:adjustRightInd w:val="0"/>
        <w:snapToGrid w:val="0"/>
        <w:spacing w:line="480" w:lineRule="exact"/>
        <w:ind w:firstLine="640" w:firstLineChars="200"/>
        <w:rPr>
          <w:rFonts w:hint="eastAsia" w:ascii="Times New Roman" w:hAnsi="仿宋" w:eastAsia="仿宋" w:cs="Times New Roman"/>
          <w:kern w:val="0"/>
          <w:sz w:val="32"/>
          <w:szCs w:val="32"/>
        </w:rPr>
      </w:pPr>
    </w:p>
    <w:p>
      <w:pPr>
        <w:adjustRightInd w:val="0"/>
        <w:snapToGrid w:val="0"/>
        <w:spacing w:line="480" w:lineRule="exact"/>
        <w:ind w:firstLine="640" w:firstLineChars="200"/>
        <w:rPr>
          <w:rFonts w:hint="eastAsia" w:ascii="Times New Roman" w:hAnsi="仿宋" w:eastAsia="仿宋" w:cs="Times New Roman"/>
          <w:kern w:val="0"/>
          <w:sz w:val="32"/>
          <w:szCs w:val="32"/>
        </w:rPr>
      </w:pPr>
    </w:p>
    <w:p>
      <w:pPr>
        <w:adjustRightInd w:val="0"/>
        <w:snapToGrid w:val="0"/>
        <w:spacing w:line="480" w:lineRule="exact"/>
        <w:ind w:firstLine="640" w:firstLineChars="200"/>
        <w:rPr>
          <w:rFonts w:hint="eastAsia" w:ascii="Times New Roman" w:hAnsi="仿宋" w:eastAsia="仿宋" w:cs="Times New Roman"/>
          <w:kern w:val="0"/>
          <w:sz w:val="32"/>
          <w:szCs w:val="32"/>
        </w:rPr>
      </w:pPr>
    </w:p>
    <w:p>
      <w:pPr>
        <w:adjustRightInd w:val="0"/>
        <w:snapToGrid w:val="0"/>
        <w:spacing w:line="480" w:lineRule="exact"/>
        <w:ind w:firstLine="640" w:firstLineChars="200"/>
        <w:rPr>
          <w:rFonts w:ascii="Times New Roman" w:hAnsi="仿宋" w:eastAsia="仿宋" w:cs="Times New Roman"/>
          <w:kern w:val="0"/>
          <w:sz w:val="32"/>
          <w:szCs w:val="32"/>
        </w:rPr>
      </w:pPr>
    </w:p>
    <w:p>
      <w:pPr>
        <w:widowControl/>
        <w:spacing w:line="480" w:lineRule="exact"/>
        <w:jc w:val="center"/>
        <w:outlineLvl w:val="0"/>
        <w:rPr>
          <w:rFonts w:ascii="方正小标宋简体" w:hAnsi="方正小标宋_GBK" w:eastAsia="方正小标宋简体" w:cs="方正小标宋_GBK"/>
          <w:kern w:val="36"/>
          <w:sz w:val="44"/>
          <w:szCs w:val="44"/>
        </w:rPr>
      </w:pPr>
      <w:r>
        <w:rPr>
          <w:rFonts w:hint="eastAsia" w:ascii="方正小标宋简体" w:hAnsi="方正小标宋_GBK" w:eastAsia="方正小标宋简体" w:cs="方正小标宋_GBK"/>
          <w:kern w:val="36"/>
          <w:sz w:val="44"/>
          <w:szCs w:val="44"/>
        </w:rPr>
        <w:t>第四届阜宁创新创业大赛</w:t>
      </w:r>
    </w:p>
    <w:p>
      <w:pPr>
        <w:adjustRightInd w:val="0"/>
        <w:snapToGrid w:val="0"/>
        <w:spacing w:line="480" w:lineRule="exact"/>
        <w:ind w:firstLine="880" w:firstLineChars="200"/>
        <w:jc w:val="center"/>
        <w:rPr>
          <w:rFonts w:ascii="Times New Roman" w:hAnsi="Times New Roman" w:eastAsia="仿宋" w:cs="Times New Roman"/>
          <w:sz w:val="32"/>
          <w:szCs w:val="32"/>
        </w:rPr>
      </w:pPr>
      <w:r>
        <w:rPr>
          <w:rFonts w:hint="eastAsia" w:ascii="方正小标宋简体" w:hAnsi="方正小标宋_GBK" w:eastAsia="方正小标宋简体" w:cs="方正小标宋_GBK"/>
          <w:kern w:val="36"/>
          <w:sz w:val="44"/>
          <w:szCs w:val="44"/>
        </w:rPr>
        <w:t>拟获奖项目清单</w:t>
      </w:r>
    </w:p>
    <w:tbl>
      <w:tblPr>
        <w:tblStyle w:val="6"/>
        <w:tblW w:w="9227" w:type="dxa"/>
        <w:jc w:val="center"/>
        <w:tblInd w:w="95" w:type="dxa"/>
        <w:tblLayout w:type="fixed"/>
        <w:tblCellMar>
          <w:top w:w="0" w:type="dxa"/>
          <w:left w:w="108" w:type="dxa"/>
          <w:bottom w:w="0" w:type="dxa"/>
          <w:right w:w="108" w:type="dxa"/>
        </w:tblCellMar>
      </w:tblPr>
      <w:tblGrid>
        <w:gridCol w:w="496"/>
        <w:gridCol w:w="1709"/>
        <w:gridCol w:w="3969"/>
        <w:gridCol w:w="1490"/>
        <w:gridCol w:w="1563"/>
      </w:tblGrid>
      <w:tr>
        <w:tblPrEx>
          <w:tblLayout w:type="fixed"/>
          <w:tblCellMar>
            <w:top w:w="0" w:type="dxa"/>
            <w:left w:w="108" w:type="dxa"/>
            <w:bottom w:w="0" w:type="dxa"/>
            <w:right w:w="108" w:type="dxa"/>
          </w:tblCellMar>
        </w:tblPrEx>
        <w:trPr>
          <w:trHeight w:val="527" w:hRule="atLeast"/>
          <w:jc w:val="center"/>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hint="eastAsia" w:ascii="黑体" w:hAnsi="黑体" w:eastAsia="黑体" w:cs="Times New Roman"/>
                <w:color w:val="000000"/>
                <w:kern w:val="0"/>
                <w:sz w:val="28"/>
                <w:szCs w:val="28"/>
              </w:rPr>
              <w:t>序号</w:t>
            </w:r>
          </w:p>
        </w:tc>
        <w:tc>
          <w:tcPr>
            <w:tcW w:w="1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hint="eastAsia" w:ascii="黑体" w:hAnsi="黑体" w:eastAsia="黑体" w:cs="Times New Roman"/>
                <w:color w:val="000000"/>
                <w:kern w:val="0"/>
                <w:sz w:val="28"/>
                <w:szCs w:val="28"/>
              </w:rPr>
              <w:t>项目名称</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hint="eastAsia" w:ascii="黑体" w:hAnsi="黑体" w:eastAsia="黑体" w:cs="Times New Roman"/>
                <w:color w:val="000000"/>
                <w:kern w:val="0"/>
                <w:sz w:val="28"/>
                <w:szCs w:val="28"/>
              </w:rPr>
              <w:t>项目简介</w:t>
            </w:r>
          </w:p>
        </w:tc>
        <w:tc>
          <w:tcPr>
            <w:tcW w:w="14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hint="eastAsia" w:ascii="黑体" w:hAnsi="黑体" w:eastAsia="黑体" w:cs="Times New Roman"/>
                <w:color w:val="000000"/>
                <w:kern w:val="0"/>
                <w:sz w:val="28"/>
                <w:szCs w:val="28"/>
              </w:rPr>
              <w:t>项目单位</w:t>
            </w:r>
          </w:p>
        </w:tc>
        <w:tc>
          <w:tcPr>
            <w:tcW w:w="15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hint="eastAsia" w:ascii="黑体" w:hAnsi="黑体" w:eastAsia="黑体" w:cs="Times New Roman"/>
                <w:color w:val="000000"/>
                <w:kern w:val="0"/>
                <w:sz w:val="28"/>
                <w:szCs w:val="28"/>
              </w:rPr>
              <w:t>拟获奖项</w:t>
            </w:r>
          </w:p>
        </w:tc>
      </w:tr>
      <w:tr>
        <w:tblPrEx>
          <w:tblLayout w:type="fixed"/>
          <w:tblCellMar>
            <w:top w:w="0" w:type="dxa"/>
            <w:left w:w="108" w:type="dxa"/>
            <w:bottom w:w="0" w:type="dxa"/>
            <w:right w:w="108" w:type="dxa"/>
          </w:tblCellMar>
        </w:tblPrEx>
        <w:trPr>
          <w:trHeight w:val="1443"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工业企业一体化安全预警系统</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该项目由北京交通大学高层次人才团队领衔研发，项目针对工业企业安全管理需求，设计搭载深度学习算法智能芯片的前端目标检测智能摄像头，利用计算机视觉技术，构建基于</w:t>
            </w:r>
            <w:r>
              <w:rPr>
                <w:rFonts w:ascii="Times New Roman" w:hAnsi="Times New Roman" w:eastAsia="宋体" w:cs="Times New Roman"/>
                <w:color w:val="000000"/>
                <w:kern w:val="0"/>
                <w:sz w:val="20"/>
                <w:szCs w:val="20"/>
              </w:rPr>
              <w:t>5G</w:t>
            </w:r>
            <w:r>
              <w:rPr>
                <w:rFonts w:hint="eastAsia" w:ascii="宋体" w:hAnsi="宋体" w:eastAsia="宋体" w:cs="Times New Roman"/>
                <w:color w:val="000000"/>
                <w:kern w:val="0"/>
                <w:sz w:val="20"/>
                <w:szCs w:val="20"/>
              </w:rPr>
              <w:t>边</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云一体化的智慧安防预警软硬件系统，提供工业企业安全生产情景模式实时监控预警，达到保障生产安全目的。</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工业企业一体化安全预警系统项目团队</w:t>
            </w:r>
          </w:p>
        </w:tc>
        <w:tc>
          <w:tcPr>
            <w:tcW w:w="1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团队组一等奖</w:t>
            </w:r>
          </w:p>
        </w:tc>
      </w:tr>
      <w:tr>
        <w:tblPrEx>
          <w:tblLayout w:type="fixed"/>
          <w:tblCellMar>
            <w:top w:w="0" w:type="dxa"/>
            <w:left w:w="108" w:type="dxa"/>
            <w:bottom w:w="0" w:type="dxa"/>
            <w:right w:w="108" w:type="dxa"/>
          </w:tblCellMar>
        </w:tblPrEx>
        <w:trPr>
          <w:trHeight w:val="1838"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便携式危险化合物快速检测防控设备</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该项目产品针对危险化合物可能产生的泄漏风险，采用新型荧光</w:t>
            </w:r>
            <w:r>
              <w:rPr>
                <w:rFonts w:ascii="Times New Roman" w:hAnsi="Times New Roman" w:eastAsia="宋体" w:cs="Times New Roman"/>
                <w:color w:val="000000"/>
                <w:kern w:val="0"/>
                <w:sz w:val="20"/>
                <w:szCs w:val="20"/>
              </w:rPr>
              <w:t>M-MOFs</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M=Cd2+,Zn2+,Mn2+</w:t>
            </w:r>
            <w:r>
              <w:rPr>
                <w:rFonts w:hint="eastAsia" w:ascii="宋体" w:hAnsi="宋体" w:eastAsia="宋体" w:cs="Times New Roman"/>
                <w:color w:val="000000"/>
                <w:kern w:val="0"/>
                <w:sz w:val="20"/>
                <w:szCs w:val="20"/>
              </w:rPr>
              <w:t>）材料，应用荧光共振能量转移原理和</w:t>
            </w:r>
            <w:r>
              <w:rPr>
                <w:rFonts w:ascii="Times New Roman" w:hAnsi="Times New Roman" w:eastAsia="宋体" w:cs="Times New Roman"/>
                <w:color w:val="000000"/>
                <w:kern w:val="0"/>
                <w:sz w:val="20"/>
                <w:szCs w:val="20"/>
              </w:rPr>
              <w:t>QCM</w:t>
            </w:r>
            <w:r>
              <w:rPr>
                <w:rFonts w:hint="eastAsia" w:ascii="宋体" w:hAnsi="宋体" w:eastAsia="宋体" w:cs="Times New Roman"/>
                <w:color w:val="000000"/>
                <w:kern w:val="0"/>
                <w:sz w:val="20"/>
                <w:szCs w:val="20"/>
              </w:rPr>
              <w:t>石英晶体微天平质量检测原理，集合多传感器融合技术，设计相应的信号处理电路和软件系统，研制出一款实时、高精度、低成本的便携式危险化合物智能检测设备，运用融合算法编制软件系统，采用物联网技术使每个探测点的检测信息实时传输到预警中心，达到及时监管和预防的目的。</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便携式危险化合物快速检测防控设备项目团队</w:t>
            </w:r>
          </w:p>
        </w:tc>
        <w:tc>
          <w:tcPr>
            <w:tcW w:w="1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团队组二等奖</w:t>
            </w:r>
          </w:p>
        </w:tc>
      </w:tr>
      <w:tr>
        <w:tblPrEx>
          <w:tblLayout w:type="fixed"/>
          <w:tblCellMar>
            <w:top w:w="0" w:type="dxa"/>
            <w:left w:w="108" w:type="dxa"/>
            <w:bottom w:w="0" w:type="dxa"/>
            <w:right w:w="108" w:type="dxa"/>
          </w:tblCellMar>
        </w:tblPrEx>
        <w:trPr>
          <w:trHeight w:val="1443"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5G</w:t>
            </w:r>
            <w:r>
              <w:rPr>
                <w:rFonts w:hint="eastAsia" w:ascii="宋体" w:hAnsi="宋体" w:eastAsia="宋体" w:cs="Times New Roman"/>
                <w:color w:val="000000"/>
                <w:kern w:val="0"/>
                <w:sz w:val="20"/>
                <w:szCs w:val="20"/>
              </w:rPr>
              <w:t>柔性电磁屏蔽</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电磁兼容（</w:t>
            </w:r>
            <w:r>
              <w:rPr>
                <w:rFonts w:ascii="Times New Roman" w:hAnsi="Times New Roman" w:eastAsia="宋体" w:cs="Times New Roman"/>
                <w:color w:val="000000"/>
                <w:kern w:val="0"/>
                <w:sz w:val="20"/>
                <w:szCs w:val="20"/>
              </w:rPr>
              <w:t>EMI/EMC</w:t>
            </w:r>
            <w:r>
              <w:rPr>
                <w:rFonts w:hint="eastAsia" w:ascii="宋体" w:hAnsi="宋体" w:eastAsia="宋体" w:cs="Times New Roman"/>
                <w:color w:val="000000"/>
                <w:kern w:val="0"/>
                <w:sz w:val="20"/>
                <w:szCs w:val="20"/>
              </w:rPr>
              <w:t>）产品</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该项目产品是国家重点发展的万物互联领域材料基础，目前国内</w:t>
            </w:r>
            <w:r>
              <w:rPr>
                <w:rFonts w:ascii="Times New Roman" w:hAnsi="Times New Roman" w:eastAsia="宋体" w:cs="Times New Roman"/>
                <w:color w:val="000000"/>
                <w:kern w:val="0"/>
                <w:sz w:val="20"/>
                <w:szCs w:val="20"/>
              </w:rPr>
              <w:t>5G</w:t>
            </w:r>
            <w:r>
              <w:rPr>
                <w:rFonts w:hint="eastAsia" w:ascii="宋体" w:hAnsi="宋体" w:eastAsia="宋体" w:cs="Times New Roman"/>
                <w:color w:val="000000"/>
                <w:kern w:val="0"/>
                <w:sz w:val="20"/>
                <w:szCs w:val="20"/>
              </w:rPr>
              <w:t>柔性</w:t>
            </w:r>
            <w:r>
              <w:rPr>
                <w:rFonts w:ascii="Times New Roman" w:hAnsi="Times New Roman" w:eastAsia="宋体" w:cs="Times New Roman"/>
                <w:color w:val="000000"/>
                <w:kern w:val="0"/>
                <w:sz w:val="20"/>
                <w:szCs w:val="20"/>
              </w:rPr>
              <w:t>EMI/EMC</w:t>
            </w:r>
            <w:r>
              <w:rPr>
                <w:rFonts w:hint="eastAsia" w:ascii="宋体" w:hAnsi="宋体" w:eastAsia="宋体" w:cs="Times New Roman"/>
                <w:color w:val="000000"/>
                <w:kern w:val="0"/>
                <w:sz w:val="20"/>
                <w:szCs w:val="20"/>
              </w:rPr>
              <w:t>产品技术刚刚起步，市场规模巨大，项目团队从事该技术研究近</w:t>
            </w:r>
            <w:r>
              <w:rPr>
                <w:rFonts w:ascii="Times New Roman" w:hAnsi="Times New Roman" w:eastAsia="宋体" w:cs="Times New Roman"/>
                <w:color w:val="000000"/>
                <w:kern w:val="0"/>
                <w:sz w:val="20"/>
                <w:szCs w:val="20"/>
              </w:rPr>
              <w:t>10</w:t>
            </w:r>
            <w:r>
              <w:rPr>
                <w:rFonts w:hint="eastAsia" w:ascii="宋体" w:hAnsi="宋体" w:eastAsia="宋体" w:cs="Times New Roman"/>
                <w:color w:val="000000"/>
                <w:kern w:val="0"/>
                <w:sz w:val="20"/>
                <w:szCs w:val="20"/>
              </w:rPr>
              <w:t>年，形成有自主知识产权的</w:t>
            </w:r>
            <w:r>
              <w:rPr>
                <w:rFonts w:ascii="Times New Roman" w:hAnsi="Times New Roman" w:eastAsia="宋体" w:cs="Times New Roman"/>
                <w:color w:val="000000"/>
                <w:kern w:val="0"/>
                <w:sz w:val="20"/>
                <w:szCs w:val="20"/>
              </w:rPr>
              <w:t>5G</w:t>
            </w:r>
            <w:r>
              <w:rPr>
                <w:rFonts w:hint="eastAsia" w:ascii="宋体" w:hAnsi="宋体" w:eastAsia="宋体" w:cs="Times New Roman"/>
                <w:color w:val="000000"/>
                <w:kern w:val="0"/>
                <w:sz w:val="20"/>
                <w:szCs w:val="20"/>
              </w:rPr>
              <w:t>高频柔性电磁屏蔽</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电磁兼容材料研发、生产和应用技术，计划建立</w:t>
            </w:r>
            <w:r>
              <w:rPr>
                <w:rFonts w:ascii="Times New Roman" w:hAnsi="Times New Roman" w:eastAsia="宋体" w:cs="Times New Roman"/>
                <w:color w:val="000000"/>
                <w:kern w:val="0"/>
                <w:sz w:val="20"/>
                <w:szCs w:val="20"/>
              </w:rPr>
              <w:t>4G</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5G</w:t>
            </w:r>
            <w:r>
              <w:rPr>
                <w:rFonts w:hint="eastAsia" w:ascii="宋体" w:hAnsi="宋体" w:eastAsia="宋体" w:cs="Times New Roman"/>
                <w:color w:val="000000"/>
                <w:kern w:val="0"/>
                <w:sz w:val="20"/>
                <w:szCs w:val="20"/>
              </w:rPr>
              <w:t>柔性</w:t>
            </w:r>
            <w:r>
              <w:rPr>
                <w:rFonts w:ascii="Times New Roman" w:hAnsi="Times New Roman" w:eastAsia="宋体" w:cs="Times New Roman"/>
                <w:color w:val="000000"/>
                <w:kern w:val="0"/>
                <w:sz w:val="20"/>
                <w:szCs w:val="20"/>
              </w:rPr>
              <w:t>EMI/EMC</w:t>
            </w:r>
            <w:r>
              <w:rPr>
                <w:rFonts w:hint="eastAsia" w:ascii="宋体" w:hAnsi="宋体" w:eastAsia="宋体" w:cs="Times New Roman"/>
                <w:color w:val="000000"/>
                <w:kern w:val="0"/>
                <w:sz w:val="20"/>
                <w:szCs w:val="20"/>
              </w:rPr>
              <w:t>产品研发生产基地，分</w:t>
            </w:r>
            <w:r>
              <w:rPr>
                <w:rFonts w:ascii="Times New Roman" w:hAnsi="Times New Roman" w:eastAsia="宋体" w:cs="Times New Roman"/>
                <w:color w:val="000000"/>
                <w:kern w:val="0"/>
                <w:sz w:val="20"/>
                <w:szCs w:val="20"/>
              </w:rPr>
              <w:t>2</w:t>
            </w:r>
            <w:r>
              <w:rPr>
                <w:rFonts w:hint="eastAsia" w:ascii="宋体" w:hAnsi="宋体" w:eastAsia="宋体" w:cs="Times New Roman"/>
                <w:color w:val="000000"/>
                <w:kern w:val="0"/>
                <w:sz w:val="20"/>
                <w:szCs w:val="20"/>
              </w:rPr>
              <w:t>期建立生产线两条，实现年产能</w:t>
            </w:r>
            <w:r>
              <w:rPr>
                <w:rFonts w:ascii="Times New Roman" w:hAnsi="Times New Roman" w:eastAsia="宋体" w:cs="Times New Roman"/>
                <w:color w:val="000000"/>
                <w:kern w:val="0"/>
                <w:sz w:val="20"/>
                <w:szCs w:val="20"/>
              </w:rPr>
              <w:t>120</w:t>
            </w:r>
            <w:r>
              <w:rPr>
                <w:rFonts w:hint="eastAsia" w:ascii="宋体" w:hAnsi="宋体" w:eastAsia="宋体" w:cs="Times New Roman"/>
                <w:color w:val="000000"/>
                <w:kern w:val="0"/>
                <w:sz w:val="20"/>
                <w:szCs w:val="20"/>
              </w:rPr>
              <w:t>万平。</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佳加新材团队</w:t>
            </w:r>
          </w:p>
        </w:tc>
        <w:tc>
          <w:tcPr>
            <w:tcW w:w="1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团队组二等奖</w:t>
            </w:r>
          </w:p>
        </w:tc>
      </w:tr>
      <w:tr>
        <w:tblPrEx>
          <w:tblLayout w:type="fixed"/>
          <w:tblCellMar>
            <w:top w:w="0" w:type="dxa"/>
            <w:left w:w="108" w:type="dxa"/>
            <w:bottom w:w="0" w:type="dxa"/>
            <w:right w:w="108" w:type="dxa"/>
          </w:tblCellMar>
        </w:tblPrEx>
        <w:trPr>
          <w:trHeight w:val="1203"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BioJN</w:t>
            </w:r>
            <w:r>
              <w:rPr>
                <w:rFonts w:hint="eastAsia" w:ascii="宋体" w:hAnsi="宋体" w:eastAsia="宋体" w:cs="Times New Roman"/>
                <w:color w:val="000000"/>
                <w:kern w:val="0"/>
                <w:sz w:val="20"/>
                <w:szCs w:val="20"/>
              </w:rPr>
              <w:t>发酵技术云服务系统</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旨在利用数据库、物联网以及人工智能技术开发工具软件和服务平台，为微生物发酵的研发和生产的过程提供数据管理、数据挖掘和工艺条件个性化控制服务，通过信息化和自动化为手段促进发酵工艺控制水平的进步，提升发酵产业在国际市场的竞争力。</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法特莱蒙团队</w:t>
            </w:r>
          </w:p>
        </w:tc>
        <w:tc>
          <w:tcPr>
            <w:tcW w:w="1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团队组三等奖</w:t>
            </w:r>
          </w:p>
        </w:tc>
      </w:tr>
      <w:tr>
        <w:tblPrEx>
          <w:tblLayout w:type="fixed"/>
          <w:tblCellMar>
            <w:top w:w="0" w:type="dxa"/>
            <w:left w:w="108" w:type="dxa"/>
            <w:bottom w:w="0" w:type="dxa"/>
            <w:right w:w="108" w:type="dxa"/>
          </w:tblCellMar>
        </w:tblPrEx>
        <w:trPr>
          <w:trHeight w:val="1284"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新一代硅基高能动力锂电池</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该项目产品由盐城工学院岳鹿团队开发，通过开发一种具有独立知识产权的新型硅基动力电池以及提供新型动力电池技术，该项目制备的电池组能够在</w:t>
            </w:r>
            <w:r>
              <w:rPr>
                <w:rFonts w:ascii="Times New Roman" w:hAnsi="Times New Roman" w:eastAsia="宋体" w:cs="Times New Roman"/>
                <w:color w:val="000000"/>
                <w:kern w:val="0"/>
                <w:sz w:val="20"/>
                <w:szCs w:val="20"/>
              </w:rPr>
              <w:t>-20-50</w:t>
            </w:r>
            <w:r>
              <w:rPr>
                <w:rFonts w:hint="eastAsia" w:ascii="宋体" w:hAnsi="宋体" w:eastAsia="宋体" w:cs="Times New Roman"/>
                <w:color w:val="000000"/>
                <w:kern w:val="0"/>
                <w:sz w:val="20"/>
                <w:szCs w:val="20"/>
              </w:rPr>
              <w:t>℃温度条件下实现高超高比能量和优异循环性能，具有广泛的推广前景和应用市场。</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盐城工学院高能动力电池团队</w:t>
            </w:r>
          </w:p>
        </w:tc>
        <w:tc>
          <w:tcPr>
            <w:tcW w:w="1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团队组三等奖</w:t>
            </w:r>
          </w:p>
        </w:tc>
      </w:tr>
      <w:tr>
        <w:tblPrEx>
          <w:tblLayout w:type="fixed"/>
          <w:tblCellMar>
            <w:top w:w="0" w:type="dxa"/>
            <w:left w:w="108" w:type="dxa"/>
            <w:bottom w:w="0" w:type="dxa"/>
            <w:right w:w="108" w:type="dxa"/>
          </w:tblCellMar>
        </w:tblPrEx>
        <w:trPr>
          <w:trHeight w:val="1297"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多温度、多刺激杜仲橡胶基形状记忆复合材料的开发及应用</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以杜仲橡胶等聚合物为基体材料制备一类新型智能材料，材料具有多级温度响应、多刺激响应等特性，可广泛应用于航天航空、生物医疗、传感器等领域，与合成记忆材料相比，具有制备简单、绿色环保、成本低廉、性能可控等优点，具有非常广阔的市场前景。</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功能橡塑材料团队</w:t>
            </w:r>
          </w:p>
        </w:tc>
        <w:tc>
          <w:tcPr>
            <w:tcW w:w="1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团队组三等奖</w:t>
            </w:r>
          </w:p>
        </w:tc>
      </w:tr>
      <w:tr>
        <w:tblPrEx>
          <w:tblLayout w:type="fixed"/>
          <w:tblCellMar>
            <w:top w:w="0" w:type="dxa"/>
            <w:left w:w="108" w:type="dxa"/>
            <w:bottom w:w="0" w:type="dxa"/>
            <w:right w:w="108" w:type="dxa"/>
          </w:tblCellMar>
        </w:tblPrEx>
        <w:trPr>
          <w:trHeight w:val="1716"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定制化高分子复合沥青改性新材料产业化</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产品采用常压法橡胶脱硫工艺，以低排放方式实现轮胎橡胶的脱硫、分子量控制和整理，通过调整改性生产工程中的工艺参数和配方变量，依托自主研发新型橡胶改性沥青环保设备将脱硫橡胶、回收塑料和其他高分子原料进行剪切共混、复合反应，在特定的工艺条件下生产出高稳定的复合改性沥青材料，具有性价比高、寿命长、抗高低温、抗氧化、抗开裂、防渗漏、降噪音、增弹性等优势。</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江苏聚科特新材料科技有限公司</w:t>
            </w:r>
          </w:p>
        </w:tc>
        <w:tc>
          <w:tcPr>
            <w:tcW w:w="15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初创企业组</w:t>
            </w:r>
          </w:p>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一等奖</w:t>
            </w:r>
          </w:p>
        </w:tc>
      </w:tr>
      <w:tr>
        <w:tblPrEx>
          <w:tblLayout w:type="fixed"/>
          <w:tblCellMar>
            <w:top w:w="0" w:type="dxa"/>
            <w:left w:w="108" w:type="dxa"/>
            <w:bottom w:w="0" w:type="dxa"/>
            <w:right w:w="108" w:type="dxa"/>
          </w:tblCellMar>
        </w:tblPrEx>
        <w:trPr>
          <w:trHeight w:val="1443"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基于增材制造项目的产业生态链建设</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该项目集合大型高精密螺杆定量挤出式</w:t>
            </w:r>
            <w:r>
              <w:rPr>
                <w:rFonts w:ascii="Times New Roman" w:hAnsi="Times New Roman" w:eastAsia="宋体" w:cs="Times New Roman"/>
                <w:color w:val="000000"/>
                <w:kern w:val="0"/>
                <w:sz w:val="20"/>
                <w:szCs w:val="20"/>
              </w:rPr>
              <w:t>3D</w:t>
            </w:r>
            <w:r>
              <w:rPr>
                <w:rFonts w:hint="eastAsia" w:ascii="宋体" w:hAnsi="宋体" w:eastAsia="宋体" w:cs="Times New Roman"/>
                <w:color w:val="000000"/>
                <w:kern w:val="0"/>
                <w:sz w:val="20"/>
                <w:szCs w:val="20"/>
              </w:rPr>
              <w:t>打印设备、</w:t>
            </w:r>
            <w:r>
              <w:rPr>
                <w:rFonts w:ascii="Times New Roman" w:hAnsi="Times New Roman" w:eastAsia="宋体" w:cs="Times New Roman"/>
                <w:color w:val="000000"/>
                <w:kern w:val="0"/>
                <w:sz w:val="20"/>
                <w:szCs w:val="20"/>
              </w:rPr>
              <w:t>3D</w:t>
            </w:r>
            <w:r>
              <w:rPr>
                <w:rFonts w:hint="eastAsia" w:ascii="宋体" w:hAnsi="宋体" w:eastAsia="宋体" w:cs="Times New Roman"/>
                <w:color w:val="000000"/>
                <w:kern w:val="0"/>
                <w:sz w:val="20"/>
                <w:szCs w:val="20"/>
              </w:rPr>
              <w:t>打印平台中心、数据库、打印材料为一体，构成了完整的产业生态链。目前，公司技术已在家具、雕塑行业得到成功应用，在</w:t>
            </w:r>
            <w:r>
              <w:rPr>
                <w:rFonts w:ascii="Times New Roman" w:hAnsi="Times New Roman" w:eastAsia="宋体" w:cs="Times New Roman"/>
                <w:color w:val="000000"/>
                <w:kern w:val="0"/>
                <w:sz w:val="20"/>
                <w:szCs w:val="20"/>
              </w:rPr>
              <w:t>GRC</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UHPC</w:t>
            </w:r>
            <w:r>
              <w:rPr>
                <w:rFonts w:hint="eastAsia" w:ascii="宋体" w:hAnsi="宋体" w:eastAsia="宋体" w:cs="Times New Roman"/>
                <w:color w:val="000000"/>
                <w:kern w:val="0"/>
                <w:sz w:val="20"/>
                <w:szCs w:val="20"/>
              </w:rPr>
              <w:t>、户外异型灯饰等领域已得到初步验证，具备广阔的市场前景，本年度预计可实现销售</w:t>
            </w:r>
            <w:r>
              <w:rPr>
                <w:rFonts w:ascii="Times New Roman" w:hAnsi="Times New Roman" w:eastAsia="宋体" w:cs="Times New Roman"/>
                <w:color w:val="000000"/>
                <w:kern w:val="0"/>
                <w:sz w:val="20"/>
                <w:szCs w:val="20"/>
              </w:rPr>
              <w:t>1000</w:t>
            </w:r>
            <w:r>
              <w:rPr>
                <w:rFonts w:hint="eastAsia" w:ascii="宋体" w:hAnsi="宋体" w:eastAsia="宋体" w:cs="Times New Roman"/>
                <w:color w:val="000000"/>
                <w:kern w:val="0"/>
                <w:sz w:val="20"/>
                <w:szCs w:val="20"/>
              </w:rPr>
              <w:t>余万元，三年实现销售一亿元，力争在资本市场的突破。</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森铂（盐城）三维科技有限公司</w:t>
            </w:r>
          </w:p>
        </w:tc>
        <w:tc>
          <w:tcPr>
            <w:tcW w:w="15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初创企业组</w:t>
            </w:r>
          </w:p>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二等奖</w:t>
            </w:r>
          </w:p>
        </w:tc>
      </w:tr>
      <w:tr>
        <w:tblPrEx>
          <w:tblLayout w:type="fixed"/>
          <w:tblCellMar>
            <w:top w:w="0" w:type="dxa"/>
            <w:left w:w="108" w:type="dxa"/>
            <w:bottom w:w="0" w:type="dxa"/>
            <w:right w:w="108" w:type="dxa"/>
          </w:tblCellMar>
        </w:tblPrEx>
        <w:trPr>
          <w:trHeight w:val="1176"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工业用一片式外丝球阀</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主要针对化工生产的痛点和化工生产设备的缺陷，进行有针对性的创新，本产品结构相较于同规格的阀门，阀体由两片式变为一片式结构，结构尺寸更小，安装更灵活，造价更低，并具备了产业化的各项条件，近期，将进行规模化生产，并进行销售。</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盐城市特一管件科技有限公司</w:t>
            </w:r>
          </w:p>
        </w:tc>
        <w:tc>
          <w:tcPr>
            <w:tcW w:w="15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初创企业组</w:t>
            </w:r>
          </w:p>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三等奖</w:t>
            </w:r>
          </w:p>
        </w:tc>
      </w:tr>
      <w:tr>
        <w:tblPrEx>
          <w:tblLayout w:type="fixed"/>
          <w:tblCellMar>
            <w:top w:w="0" w:type="dxa"/>
            <w:left w:w="108" w:type="dxa"/>
            <w:bottom w:w="0" w:type="dxa"/>
            <w:right w:w="108" w:type="dxa"/>
          </w:tblCellMar>
        </w:tblPrEx>
        <w:trPr>
          <w:trHeight w:val="1443"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智能激光微制造技术及应用</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利用超短脉宽的纳秒、皮秒、飞秒激光加工系统，在工件表面加工一系列微细结构，比如微孔、微形貌，从而实现特定的功能要求，主要涉及到针对特定工件功能要求的激光器选择，工艺规程的制定，光机电一体化智能设计等，目前，企业正在进行生产设备配套和厂房设施建设，预计本年度可实现销售</w:t>
            </w:r>
            <w:r>
              <w:rPr>
                <w:rFonts w:ascii="Times New Roman" w:hAnsi="Times New Roman" w:eastAsia="宋体" w:cs="Times New Roman"/>
                <w:color w:val="000000"/>
                <w:kern w:val="0"/>
                <w:sz w:val="20"/>
                <w:szCs w:val="20"/>
              </w:rPr>
              <w:t>100</w:t>
            </w:r>
            <w:r>
              <w:rPr>
                <w:rFonts w:hint="eastAsia" w:ascii="宋体" w:hAnsi="宋体" w:eastAsia="宋体" w:cs="Times New Roman"/>
                <w:color w:val="000000"/>
                <w:kern w:val="0"/>
                <w:sz w:val="20"/>
                <w:szCs w:val="20"/>
              </w:rPr>
              <w:t>万元。</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盐城市奇镌激光科技有限公司</w:t>
            </w:r>
          </w:p>
        </w:tc>
        <w:tc>
          <w:tcPr>
            <w:tcW w:w="15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初创企业组</w:t>
            </w:r>
          </w:p>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三等奖</w:t>
            </w:r>
          </w:p>
        </w:tc>
      </w:tr>
      <w:tr>
        <w:tblPrEx>
          <w:tblLayout w:type="fixed"/>
          <w:tblCellMar>
            <w:top w:w="0" w:type="dxa"/>
            <w:left w:w="108" w:type="dxa"/>
            <w:bottom w:w="0" w:type="dxa"/>
            <w:right w:w="108" w:type="dxa"/>
          </w:tblCellMar>
        </w:tblPrEx>
        <w:trPr>
          <w:trHeight w:val="1443"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石墨烯新材料的研发与应用</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该项目将石墨烯添加到特质</w:t>
            </w:r>
            <w:r>
              <w:rPr>
                <w:rFonts w:ascii="Times New Roman" w:hAnsi="Times New Roman" w:eastAsia="宋体" w:cs="Times New Roman"/>
                <w:color w:val="000000"/>
                <w:kern w:val="0"/>
                <w:sz w:val="20"/>
                <w:szCs w:val="20"/>
              </w:rPr>
              <w:t>PET</w:t>
            </w:r>
            <w:r>
              <w:rPr>
                <w:rFonts w:hint="eastAsia" w:ascii="宋体" w:hAnsi="宋体" w:eastAsia="宋体" w:cs="Times New Roman"/>
                <w:color w:val="000000"/>
                <w:kern w:val="0"/>
                <w:sz w:val="20"/>
                <w:szCs w:val="20"/>
              </w:rPr>
              <w:t>膜中，开发出了包括手机散热膜、球形炭、活性炭、地暖、墙暖、贴身大健康小产品等一系列产品。进一步研究石墨烯在锂离子电池电极材料，太阳能电池电极材料，薄膜晶体管制备，传感器，半导体器件，复合材料制备，透明显示触摸屏，透明电极等行业的应用。</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江苏星途新材料科技有限公司</w:t>
            </w:r>
          </w:p>
        </w:tc>
        <w:tc>
          <w:tcPr>
            <w:tcW w:w="15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初创企业组</w:t>
            </w:r>
          </w:p>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三等奖</w:t>
            </w:r>
          </w:p>
        </w:tc>
      </w:tr>
      <w:tr>
        <w:tblPrEx>
          <w:tblLayout w:type="fixed"/>
          <w:tblCellMar>
            <w:top w:w="0" w:type="dxa"/>
            <w:left w:w="108" w:type="dxa"/>
            <w:bottom w:w="0" w:type="dxa"/>
            <w:right w:w="108" w:type="dxa"/>
          </w:tblCellMar>
        </w:tblPrEx>
        <w:trPr>
          <w:trHeight w:val="1216"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智能化干法刮板出渣机</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该项目产品为我国现行危废处置生产线中的重要设备。通过重型板链机构传动形式，配备红线温控、螺旋雾化喷淋智能冷却以及内循环水冷双系统，将废渣含水量由</w:t>
            </w:r>
            <w:r>
              <w:rPr>
                <w:rFonts w:ascii="Times New Roman" w:hAnsi="Times New Roman" w:eastAsia="宋体" w:cs="Times New Roman"/>
                <w:color w:val="000000"/>
                <w:kern w:val="0"/>
                <w:sz w:val="20"/>
                <w:szCs w:val="20"/>
              </w:rPr>
              <w:t>80%</w:t>
            </w:r>
            <w:r>
              <w:rPr>
                <w:rFonts w:hint="eastAsia" w:ascii="宋体" w:hAnsi="宋体" w:eastAsia="宋体" w:cs="Times New Roman"/>
                <w:color w:val="000000"/>
                <w:kern w:val="0"/>
                <w:sz w:val="20"/>
                <w:szCs w:val="20"/>
              </w:rPr>
              <w:t>以上控制在</w:t>
            </w:r>
            <w:r>
              <w:rPr>
                <w:rFonts w:ascii="Times New Roman" w:hAnsi="Times New Roman" w:eastAsia="宋体" w:cs="Times New Roman"/>
                <w:color w:val="000000"/>
                <w:kern w:val="0"/>
                <w:sz w:val="20"/>
                <w:szCs w:val="20"/>
              </w:rPr>
              <w:t>30%</w:t>
            </w:r>
            <w:r>
              <w:rPr>
                <w:rFonts w:hint="eastAsia" w:ascii="宋体" w:hAnsi="宋体" w:eastAsia="宋体" w:cs="Times New Roman"/>
                <w:color w:val="000000"/>
                <w:kern w:val="0"/>
                <w:sz w:val="20"/>
                <w:szCs w:val="20"/>
              </w:rPr>
              <w:t>以内，具有设备使用寿命长、节约能源、降低成本等特点。</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江苏瑞赛克环保设备科技股份有限公司</w:t>
            </w:r>
          </w:p>
        </w:tc>
        <w:tc>
          <w:tcPr>
            <w:tcW w:w="15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成长企业组</w:t>
            </w:r>
          </w:p>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一等奖</w:t>
            </w:r>
          </w:p>
        </w:tc>
      </w:tr>
      <w:tr>
        <w:tblPrEx>
          <w:tblLayout w:type="fixed"/>
          <w:tblCellMar>
            <w:top w:w="0" w:type="dxa"/>
            <w:left w:w="108" w:type="dxa"/>
            <w:bottom w:w="0" w:type="dxa"/>
            <w:right w:w="108" w:type="dxa"/>
          </w:tblCellMar>
        </w:tblPrEx>
        <w:trPr>
          <w:trHeight w:val="1000"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炭化工艺在废活性炭再生项目中的应用</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设计了一种活性炭炭化工艺装置系统及其方法，通过装置系统实现物料在高温炭化的过程产生的易燃、易爆高温有机蒸气的可靠回收，提高活性炭的炭化得率和生产效率，保证了生产安全，避免造成环境污染。</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江苏亚旗环保科技有限公司</w:t>
            </w:r>
          </w:p>
        </w:tc>
        <w:tc>
          <w:tcPr>
            <w:tcW w:w="15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成长企业组</w:t>
            </w:r>
          </w:p>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二等奖</w:t>
            </w:r>
          </w:p>
        </w:tc>
      </w:tr>
      <w:tr>
        <w:tblPrEx>
          <w:tblLayout w:type="fixed"/>
          <w:tblCellMar>
            <w:top w:w="0" w:type="dxa"/>
            <w:left w:w="108" w:type="dxa"/>
            <w:bottom w:w="0" w:type="dxa"/>
            <w:right w:w="108" w:type="dxa"/>
          </w:tblCellMar>
        </w:tblPrEx>
        <w:trPr>
          <w:trHeight w:val="1581"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14</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基于物联网的农业节水灌溉系统</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该项目采用</w:t>
            </w:r>
            <w:r>
              <w:rPr>
                <w:rFonts w:ascii="Times New Roman" w:hAnsi="Times New Roman" w:eastAsia="宋体" w:cs="Times New Roman"/>
                <w:color w:val="000000"/>
                <w:kern w:val="0"/>
                <w:sz w:val="20"/>
                <w:szCs w:val="20"/>
              </w:rPr>
              <w:t>Modbus TCP</w:t>
            </w:r>
            <w:r>
              <w:rPr>
                <w:rFonts w:hint="eastAsia" w:ascii="宋体" w:hAnsi="宋体" w:eastAsia="宋体" w:cs="Times New Roman"/>
                <w:color w:val="000000"/>
                <w:kern w:val="0"/>
                <w:sz w:val="20"/>
                <w:szCs w:val="20"/>
              </w:rPr>
              <w:t>模式通讯，通过设备与现场进行</w:t>
            </w:r>
            <w:r>
              <w:rPr>
                <w:rFonts w:ascii="Times New Roman" w:hAnsi="Times New Roman" w:eastAsia="宋体" w:cs="Times New Roman"/>
                <w:color w:val="000000"/>
                <w:kern w:val="0"/>
                <w:sz w:val="20"/>
                <w:szCs w:val="20"/>
              </w:rPr>
              <w:t>ZIGBEE</w:t>
            </w:r>
            <w:r>
              <w:rPr>
                <w:rFonts w:hint="eastAsia" w:ascii="宋体" w:hAnsi="宋体" w:eastAsia="宋体" w:cs="Times New Roman"/>
                <w:color w:val="000000"/>
                <w:kern w:val="0"/>
                <w:sz w:val="20"/>
                <w:szCs w:val="20"/>
              </w:rPr>
              <w:t>无线短频传输，控制设备自动控制水泵、阀门等设备。通过对土壤微生物、土壤墒情、光照度、温湿度、气象数据进行实时采集和分析，分析现场数据及不同作物种类，制定适用作物生长时期的灌溉模型，根据土壤墒情及作物生长时期，自动设定灌溉用水量和施肥量，达到高效节水和定量施肥的功能。</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江苏润州建设有限公司</w:t>
            </w:r>
          </w:p>
        </w:tc>
        <w:tc>
          <w:tcPr>
            <w:tcW w:w="15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成长企业组</w:t>
            </w:r>
          </w:p>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三等奖</w:t>
            </w:r>
          </w:p>
        </w:tc>
      </w:tr>
      <w:tr>
        <w:tblPrEx>
          <w:tblLayout w:type="fixed"/>
          <w:tblCellMar>
            <w:top w:w="0" w:type="dxa"/>
            <w:left w:w="108" w:type="dxa"/>
            <w:bottom w:w="0" w:type="dxa"/>
            <w:right w:w="108" w:type="dxa"/>
          </w:tblCellMar>
        </w:tblPrEx>
        <w:trPr>
          <w:trHeight w:val="1824"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高性能滤料经编增强基研发与产业化</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以高性能纤维为原料，在引进国际最先进的经编机上形成结构增强基材，并与非织造布复合得到结构增强复合材料，设计出一种产品性能优良、适用于滤材的全新的新型制造方法。本项目技术达国际先进水平，在新型纤维应用、结构增强基材形成、复合材料制备等方面将形成完全自主知识产权，开辟了新型结构增强复合材料在高端滤料应用的新领域，有助于提升国内高端滤料行业的整体技术水平，可以替代同类进口滤料。</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江苏恒生环保科技有限公司</w:t>
            </w:r>
          </w:p>
        </w:tc>
        <w:tc>
          <w:tcPr>
            <w:tcW w:w="15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成长企业组</w:t>
            </w:r>
          </w:p>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三等奖</w:t>
            </w:r>
          </w:p>
        </w:tc>
      </w:tr>
      <w:tr>
        <w:tblPrEx>
          <w:tblLayout w:type="fixed"/>
          <w:tblCellMar>
            <w:top w:w="0" w:type="dxa"/>
            <w:left w:w="108" w:type="dxa"/>
            <w:bottom w:w="0" w:type="dxa"/>
            <w:right w:w="108" w:type="dxa"/>
          </w:tblCellMar>
        </w:tblPrEx>
        <w:trPr>
          <w:trHeight w:val="1067" w:hRule="atLeast"/>
          <w:jc w:val="center"/>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w:t>
            </w:r>
          </w:p>
        </w:tc>
        <w:tc>
          <w:tcPr>
            <w:tcW w:w="17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EPDM</w:t>
            </w:r>
            <w:r>
              <w:rPr>
                <w:rFonts w:hint="eastAsia" w:ascii="宋体" w:hAnsi="宋体" w:eastAsia="宋体" w:cs="Times New Roman"/>
                <w:color w:val="000000"/>
                <w:kern w:val="0"/>
                <w:sz w:val="20"/>
                <w:szCs w:val="20"/>
              </w:rPr>
              <w:t>环保彩色颗粒的研发、推广</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该项目产品以三元乙丙橡胶为主要原料，采用独特的工艺配方，制成高弹性的缓冲材料。该材料含胶量高、弹性好、比重轻、粘接性强、耐候稳定、颜色持久、无毒无味，性能符合国家中小学运动场地标准，深受用户喜爱。</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江苏宏腾运动场地新材料有限公司</w:t>
            </w:r>
          </w:p>
        </w:tc>
        <w:tc>
          <w:tcPr>
            <w:tcW w:w="15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成长企业组</w:t>
            </w:r>
          </w:p>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三等奖</w:t>
            </w:r>
          </w:p>
        </w:tc>
      </w:tr>
    </w:tbl>
    <w:p>
      <w:pPr>
        <w:widowControl/>
        <w:spacing w:line="480" w:lineRule="exact"/>
        <w:ind w:firstLine="640" w:firstLineChars="200"/>
        <w:jc w:val="left"/>
        <w:rPr>
          <w:rFonts w:ascii="Times New Roman" w:hAnsi="Times New Roman" w:eastAsia="仿宋" w:cs="Times New Roman"/>
          <w:sz w:val="32"/>
          <w:szCs w:val="32"/>
        </w:rPr>
      </w:pPr>
    </w:p>
    <w:sectPr>
      <w:pgSz w:w="11906" w:h="16838"/>
      <w:pgMar w:top="1984"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2A"/>
    <w:rsid w:val="000A3F82"/>
    <w:rsid w:val="000B03A3"/>
    <w:rsid w:val="000D542E"/>
    <w:rsid w:val="00180C9F"/>
    <w:rsid w:val="001B5CAB"/>
    <w:rsid w:val="00233A00"/>
    <w:rsid w:val="002E1201"/>
    <w:rsid w:val="0035592A"/>
    <w:rsid w:val="003F7875"/>
    <w:rsid w:val="004C0268"/>
    <w:rsid w:val="00501B5C"/>
    <w:rsid w:val="005A5BC7"/>
    <w:rsid w:val="00603B41"/>
    <w:rsid w:val="00652D14"/>
    <w:rsid w:val="006A52E2"/>
    <w:rsid w:val="00795EB3"/>
    <w:rsid w:val="00803BC7"/>
    <w:rsid w:val="00856183"/>
    <w:rsid w:val="008807FF"/>
    <w:rsid w:val="008C17BF"/>
    <w:rsid w:val="00944F27"/>
    <w:rsid w:val="00A37E48"/>
    <w:rsid w:val="00AE529F"/>
    <w:rsid w:val="00B3798C"/>
    <w:rsid w:val="00B52FA8"/>
    <w:rsid w:val="00D07FE9"/>
    <w:rsid w:val="00D475EE"/>
    <w:rsid w:val="00DB254B"/>
    <w:rsid w:val="00E00E3B"/>
    <w:rsid w:val="00E32BE7"/>
    <w:rsid w:val="00EB1954"/>
    <w:rsid w:val="00F06AAA"/>
    <w:rsid w:val="13D94205"/>
    <w:rsid w:val="18B606B1"/>
    <w:rsid w:val="294974F4"/>
    <w:rsid w:val="3E3C1294"/>
    <w:rsid w:val="51540444"/>
    <w:rsid w:val="6E10321C"/>
    <w:rsid w:val="77D40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491</Words>
  <Characters>2802</Characters>
  <Lines>23</Lines>
  <Paragraphs>6</Paragraphs>
  <TotalTime>31</TotalTime>
  <ScaleCrop>false</ScaleCrop>
  <LinksUpToDate>false</LinksUpToDate>
  <CharactersWithSpaces>3287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2020-06-30T07:48:00Z</dcterms:created>
  <dc:creator>Administrator</dc:creator>
  <cp:lastModifiedBy>ylh</cp:lastModifiedBy>
  <cp:lastPrinted>2020-07-03T03:23:00Z</cp:lastPrinted>
  <dcterms:modified xsi:type="dcterms:W3CDTF">2020-07-06T08:22:53Z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